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left"/>
        <w:outlineLvl w:val="0"/>
        <w:rPr>
          <w:rFonts w:hint="eastAsia" w:ascii="黑体" w:eastAsia="黑体"/>
          <w:sz w:val="32"/>
          <w:szCs w:val="32"/>
        </w:rPr>
      </w:pPr>
      <w:r>
        <w:rPr>
          <w:rFonts w:hint="eastAsia" w:ascii="黑体" w:eastAsia="黑体"/>
          <w:sz w:val="32"/>
          <w:szCs w:val="32"/>
        </w:rPr>
        <w:t>附件3：</w:t>
      </w:r>
    </w:p>
    <w:p>
      <w:pPr>
        <w:pStyle w:val="5"/>
        <w:spacing w:line="360" w:lineRule="auto"/>
        <w:jc w:val="center"/>
        <w:outlineLvl w:val="0"/>
        <w:rPr>
          <w:rFonts w:ascii="黑体" w:eastAsia="黑体"/>
          <w:sz w:val="32"/>
          <w:szCs w:val="32"/>
        </w:rPr>
      </w:pPr>
      <w:r>
        <w:rPr>
          <w:rFonts w:hint="eastAsia" w:ascii="黑体" w:eastAsia="黑体"/>
          <w:sz w:val="32"/>
          <w:szCs w:val="32"/>
          <w:lang w:eastAsia="zh-CN"/>
        </w:rPr>
        <w:t>宁德市蕉城区</w:t>
      </w:r>
      <w:r>
        <w:rPr>
          <w:rFonts w:hint="eastAsia" w:ascii="黑体" w:eastAsia="黑体"/>
          <w:sz w:val="32"/>
          <w:szCs w:val="32"/>
        </w:rPr>
        <w:t>市政基础设施养护管理项目工程实施细则</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为保障</w:t>
      </w:r>
      <w:r>
        <w:rPr>
          <w:rFonts w:hint="eastAsia" w:ascii="宋体" w:hAnsi="宋体" w:cs="宋体"/>
          <w:sz w:val="24"/>
          <w:szCs w:val="24"/>
          <w:lang w:eastAsia="zh-CN"/>
        </w:rPr>
        <w:t>宁德市蕉城区</w:t>
      </w:r>
      <w:r>
        <w:rPr>
          <w:rFonts w:hint="eastAsia" w:ascii="宋体" w:hAnsi="宋体" w:cs="宋体"/>
          <w:sz w:val="24"/>
          <w:szCs w:val="24"/>
        </w:rPr>
        <w:t>市政基础设施养护管理项目考核要求市场化</w:t>
      </w:r>
      <w:r>
        <w:rPr>
          <w:rFonts w:hint="eastAsia" w:ascii="宋体" w:hAnsi="宋体" w:cs="宋体"/>
          <w:sz w:val="24"/>
          <w:szCs w:val="24"/>
          <w:lang w:eastAsia="zh-CN"/>
        </w:rPr>
        <w:t>服务</w:t>
      </w:r>
      <w:r>
        <w:rPr>
          <w:rFonts w:hint="eastAsia" w:ascii="宋体" w:hAnsi="宋体" w:cs="宋体"/>
          <w:sz w:val="24"/>
          <w:szCs w:val="24"/>
        </w:rPr>
        <w:t>工作顺利实施，合理降低维护费用，确保市政基础设施完好率和维护质量达标，特制定本实施细则,简称《实施细则》。</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sz w:val="24"/>
          <w:szCs w:val="24"/>
          <w:lang w:eastAsia="zh-CN"/>
        </w:rPr>
        <w:t>宁德市蕉城区</w:t>
      </w:r>
      <w:r>
        <w:rPr>
          <w:rFonts w:hint="eastAsia" w:ascii="宋体" w:hAnsi="宋体" w:cs="宋体"/>
          <w:sz w:val="24"/>
          <w:szCs w:val="24"/>
        </w:rPr>
        <w:t>2020至2021年度市政基础设施维护工程工作以社会化管养形式</w:t>
      </w:r>
      <w:r>
        <w:rPr>
          <w:rFonts w:hint="eastAsia" w:ascii="宋体" w:hAnsi="宋体" w:cs="宋体"/>
          <w:sz w:val="24"/>
          <w:szCs w:val="24"/>
          <w:lang w:eastAsia="zh-CN"/>
        </w:rPr>
        <w:t>进驻宁德蕉城区公共资源中心阳光平台进行摇号</w:t>
      </w:r>
      <w:r>
        <w:rPr>
          <w:rFonts w:hint="eastAsia" w:ascii="宋体" w:hAnsi="宋体" w:cs="宋体"/>
          <w:sz w:val="24"/>
          <w:szCs w:val="24"/>
        </w:rPr>
        <w:t>。</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二、工程招标范围及内容：</w:t>
      </w:r>
    </w:p>
    <w:p>
      <w:pPr>
        <w:pStyle w:val="5"/>
        <w:spacing w:line="360" w:lineRule="auto"/>
        <w:ind w:firstLine="480" w:firstLineChars="200"/>
        <w:rPr>
          <w:rFonts w:hint="eastAsia" w:ascii="宋体" w:hAnsi="宋体" w:cs="宋体"/>
          <w:b w:val="0"/>
          <w:bCs w:val="0"/>
          <w:sz w:val="24"/>
          <w:szCs w:val="24"/>
          <w:lang w:eastAsia="zh-CN"/>
        </w:rPr>
      </w:pPr>
      <w:r>
        <w:rPr>
          <w:rFonts w:hint="eastAsia" w:ascii="宋体" w:hAnsi="宋体" w:cs="宋体"/>
          <w:sz w:val="24"/>
          <w:szCs w:val="24"/>
        </w:rPr>
        <w:t>（一）招标范围：</w:t>
      </w:r>
      <w:r>
        <w:rPr>
          <w:rFonts w:hint="eastAsia" w:ascii="宋体" w:hAnsi="宋体" w:cs="宋体"/>
          <w:b w:val="0"/>
          <w:bCs w:val="0"/>
          <w:sz w:val="24"/>
          <w:szCs w:val="24"/>
          <w:lang w:eastAsia="zh-CN"/>
        </w:rPr>
        <w:t>蕉城区中心城区道路养护管理划转移交清单（附件</w:t>
      </w:r>
      <w:r>
        <w:rPr>
          <w:rFonts w:hint="eastAsia" w:ascii="宋体" w:hAnsi="宋体" w:cs="宋体"/>
          <w:b w:val="0"/>
          <w:bCs w:val="0"/>
          <w:sz w:val="24"/>
          <w:szCs w:val="24"/>
          <w:lang w:val="en-US" w:eastAsia="zh-CN"/>
        </w:rPr>
        <w:t>1</w:t>
      </w:r>
      <w:r>
        <w:rPr>
          <w:rFonts w:hint="eastAsia" w:ascii="宋体" w:hAnsi="宋体" w:cs="宋体"/>
          <w:b w:val="0"/>
          <w:bCs w:val="0"/>
          <w:sz w:val="24"/>
          <w:szCs w:val="24"/>
          <w:lang w:eastAsia="zh-CN"/>
        </w:rPr>
        <w:t>）</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（二）承包内容：</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宁德市蕉城区</w:t>
      </w:r>
      <w:r>
        <w:rPr>
          <w:rFonts w:hint="eastAsia" w:ascii="宋体" w:hAnsi="宋体" w:cs="宋体"/>
          <w:sz w:val="24"/>
          <w:szCs w:val="24"/>
        </w:rPr>
        <w:t>管辖范围内的市政道路、人行道、路缘石、窨井盖、雨水篦等市政设施的巡查。维养单位应及时发现区域内各类市政设施的损坏情况。对存在安全隐患的，1小时内做好安全防护措施，设立相应警示标志；对区域内市政管理范围内的违规行为及时发现，采取有效措施进行劝阻和处理；对无法处理的，及时上报业主。</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宁德市蕉城区</w:t>
      </w:r>
      <w:r>
        <w:rPr>
          <w:rFonts w:hint="eastAsia" w:ascii="宋体" w:hAnsi="宋体" w:cs="宋体"/>
          <w:sz w:val="24"/>
          <w:szCs w:val="24"/>
        </w:rPr>
        <w:t>管辖范围内的市政道路、人行道、路缘石、窨井盖、雨水篦等市政设施的日常养护维修工作。维护单位针对日常巡查中发现的各类市政设施损坏情况，按道路原设计标准和国家现行道路养护标准进行修复。</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3.积极响应参与积水处理、管道疏浚及配合各类应急保障（如防汛、抗台）任务，和</w:t>
      </w:r>
      <w:r>
        <w:rPr>
          <w:rFonts w:hint="eastAsia" w:ascii="宋体" w:hAnsi="宋体" w:cs="宋体"/>
          <w:sz w:val="24"/>
          <w:szCs w:val="24"/>
          <w:lang w:eastAsia="zh-CN"/>
        </w:rPr>
        <w:t>区</w:t>
      </w:r>
      <w:r>
        <w:rPr>
          <w:rFonts w:hint="eastAsia" w:ascii="宋体" w:hAnsi="宋体" w:cs="宋体"/>
          <w:sz w:val="24"/>
          <w:szCs w:val="24"/>
        </w:rPr>
        <w:t>委</w:t>
      </w:r>
      <w:r>
        <w:rPr>
          <w:rFonts w:hint="eastAsia" w:ascii="宋体" w:hAnsi="宋体" w:cs="宋体"/>
          <w:sz w:val="24"/>
          <w:szCs w:val="24"/>
          <w:lang w:eastAsia="zh-CN"/>
        </w:rPr>
        <w:t>区</w:t>
      </w:r>
      <w:r>
        <w:rPr>
          <w:rFonts w:hint="eastAsia" w:ascii="宋体" w:hAnsi="宋体" w:cs="宋体"/>
          <w:sz w:val="24"/>
          <w:szCs w:val="24"/>
        </w:rPr>
        <w:t>政府及主管部门巡视过程中提出的要求维护的范围。</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4.系统掌握</w:t>
      </w:r>
      <w:r>
        <w:rPr>
          <w:rFonts w:hint="eastAsia" w:ascii="宋体" w:hAnsi="宋体" w:cs="宋体"/>
          <w:sz w:val="24"/>
          <w:szCs w:val="24"/>
          <w:lang w:eastAsia="zh-CN"/>
        </w:rPr>
        <w:t>宁德市蕉城区</w:t>
      </w:r>
      <w:r>
        <w:rPr>
          <w:rFonts w:hint="eastAsia" w:ascii="宋体" w:hAnsi="宋体" w:cs="宋体"/>
          <w:sz w:val="24"/>
          <w:szCs w:val="24"/>
        </w:rPr>
        <w:t>管辖范围内的市政道路及其附属设施具体情况，建立健全日常巡查养护及管理台账制度，认真做好台账的整理和归档工作，按时报送相关周报、月报、养护计划、养护工程报表、道路技术状况评定表。</w:t>
      </w:r>
    </w:p>
    <w:p>
      <w:pPr>
        <w:pStyle w:val="5"/>
        <w:widowControl/>
        <w:spacing w:line="380" w:lineRule="auto"/>
        <w:ind w:firstLine="499" w:firstLineChars="208"/>
        <w:jc w:val="left"/>
        <w:rPr>
          <w:rFonts w:ascii="宋体" w:hAnsi="宋体" w:cs="宋体"/>
          <w:sz w:val="24"/>
          <w:szCs w:val="24"/>
        </w:rPr>
      </w:pPr>
      <w:r>
        <w:rPr>
          <w:rFonts w:hint="eastAsia" w:ascii="宋体" w:hAnsi="宋体" w:cs="宋体"/>
          <w:sz w:val="24"/>
          <w:szCs w:val="24"/>
        </w:rPr>
        <w:t>注：（1）维护工作产生的</w:t>
      </w:r>
      <w:r>
        <w:rPr>
          <w:rFonts w:hint="eastAsia" w:ascii="宋体" w:hAnsi="宋体" w:cs="宋体"/>
          <w:sz w:val="24"/>
          <w:szCs w:val="24"/>
          <w:lang w:eastAsia="zh-CN"/>
        </w:rPr>
        <w:t>垃圾及</w:t>
      </w:r>
      <w:r>
        <w:rPr>
          <w:rFonts w:hint="eastAsia" w:ascii="宋体" w:hAnsi="宋体" w:cs="宋体"/>
          <w:sz w:val="24"/>
          <w:szCs w:val="24"/>
        </w:rPr>
        <w:t>污泥由维养单位自行解决，不得乱堆乱放和造成二次污染。</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三、保险费用：车辆及设施被盗、被损保险,操作人员劳保、人身意外险,社保及项目的其他一切保险费用由承包方负责。</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四、车辆设备及统一服装要求：承包方在市政基础设施维护工程承包期间，必须至少配备专门用于市政道路及其附属设施巡查皮卡车一部，要求统一定期检测检修（包括车辆外观油膝等），集中停放，因车辆违章造成的刑事责任也须承包方全部负责。承包方在市政基础设施维护工程承包期间应配备统一的市政维护服装，服装背面标明“</w:t>
      </w:r>
      <w:r>
        <w:rPr>
          <w:rFonts w:hint="eastAsia" w:ascii="宋体" w:hAnsi="宋体" w:cs="宋体"/>
          <w:sz w:val="24"/>
          <w:szCs w:val="24"/>
          <w:lang w:eastAsia="zh-CN"/>
        </w:rPr>
        <w:t>蕉城区</w:t>
      </w:r>
      <w:r>
        <w:rPr>
          <w:rFonts w:hint="eastAsia" w:ascii="宋体" w:hAnsi="宋体" w:cs="宋体"/>
          <w:sz w:val="24"/>
          <w:szCs w:val="24"/>
        </w:rPr>
        <w:t>市政巡查维护”字样。</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五、承包期限：承包期限为壹年。若出现未按招标人要求完成考核内容一次以上的视为严重违约，发包方有权终止合同，被终止合同的承包方自承包合同解除后三年内不得参与本项目的竞标活动。</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六、质量及安全要求：</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承包方在施工过程中，运行维护人员必须严格按国家现行养护和施工质量标准规范进行运行维护工作，确保施工安全，并且施工质量要达到考核标准要求。</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（一）更换材料要求：承包期间所更换的一切材料必须采用符合质量要求的原设计原样或业主指定的主材料产品厂家修复，不得以次充好，所更换的材料需变更，必须经过业主同意。</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（二）质量要求：</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宁德市蕉城区</w:t>
      </w:r>
      <w:r>
        <w:rPr>
          <w:rFonts w:hint="eastAsia" w:ascii="宋体" w:hAnsi="宋体" w:cs="宋体"/>
          <w:sz w:val="24"/>
          <w:szCs w:val="24"/>
        </w:rPr>
        <w:t>职责管理范围内所有市政道路每天至少巡查一回，及时发现道路、路缘石、排水管道（城区</w:t>
      </w:r>
      <w:r>
        <w:rPr>
          <w:rFonts w:hint="eastAsia" w:ascii="宋体" w:hAnsi="宋体" w:cs="宋体"/>
          <w:sz w:val="24"/>
          <w:szCs w:val="24"/>
          <w:lang w:eastAsia="zh-CN"/>
        </w:rPr>
        <w:t>范围</w:t>
      </w:r>
      <w:r>
        <w:rPr>
          <w:rFonts w:hint="eastAsia" w:ascii="宋体" w:hAnsi="宋体" w:cs="宋体"/>
          <w:sz w:val="24"/>
          <w:szCs w:val="24"/>
        </w:rPr>
        <w:t>雨水管道）及其窨井盖、检查井等市政设施的损坏情况，第一时间做好安全措施，及时上报业主，在业主出具派修单两小时内按照原设计标准保质保量予以修复到位,若损坏量大则应在两天内按照原设计标准保质保量修复到位；</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2、12345网络诉求件、被新闻媒体曝光、市民来电投诉</w:t>
      </w:r>
      <w:r>
        <w:rPr>
          <w:rFonts w:hint="eastAsia" w:ascii="仿宋_GB2312" w:hAnsi="仿宋_GB2312" w:eastAsia="仿宋_GB2312" w:cs="仿宋_GB2312"/>
          <w:sz w:val="32"/>
          <w:szCs w:val="32"/>
        </w:rPr>
        <w:t>、</w:t>
      </w:r>
      <w:r>
        <w:rPr>
          <w:rFonts w:hint="eastAsia" w:ascii="宋体" w:hAnsi="宋体" w:cs="宋体"/>
          <w:sz w:val="24"/>
          <w:szCs w:val="24"/>
        </w:rPr>
        <w:t>社区网格员巡查问题等及领导巡视过程中提及的修复任务，应在接到业主通知1小时内进行现场勘查，根据实际情况做好现场安全处置与反馈工作，在业主通过微信、QQ、短信等通讯形式通知承包单位两小时内按照原设计标准保质保量予以修复到位,若损坏量大则应在两天内按照原设计标准保质保量修复到位；</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宁德市蕉城区</w:t>
      </w:r>
      <w:r>
        <w:rPr>
          <w:rFonts w:hint="eastAsia" w:ascii="宋体" w:hAnsi="宋体" w:cs="宋体"/>
          <w:sz w:val="24"/>
          <w:szCs w:val="24"/>
        </w:rPr>
        <w:t>职责管理范围内所有排水设施日常检查、疏浚以及清淤工作，确保排水通畅，积淤不得超过管道截面的1/3；</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4、台风、暴雨期间等突发险情，承包方应急抢险人员至少保证20人，应按照业主要求做好应急抢险工作；</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5、系统掌握</w:t>
      </w:r>
      <w:r>
        <w:rPr>
          <w:rFonts w:hint="eastAsia" w:ascii="宋体" w:hAnsi="宋体" w:cs="宋体"/>
          <w:sz w:val="24"/>
          <w:szCs w:val="24"/>
          <w:lang w:eastAsia="zh-CN"/>
        </w:rPr>
        <w:t>蕉城</w:t>
      </w:r>
      <w:r>
        <w:rPr>
          <w:rFonts w:hint="eastAsia" w:ascii="宋体" w:hAnsi="宋体" w:cs="宋体"/>
          <w:sz w:val="24"/>
          <w:szCs w:val="24"/>
        </w:rPr>
        <w:t>区职责管理范围内的市政道路及其附属设施具体情况，建立健全日常巡查管理和养护台账制度，认真做好台账的整理和归档工作，按时报送相关周报、月报、养护计划、养护工作养护报表等。</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注：维护工作产生的</w:t>
      </w:r>
      <w:r>
        <w:rPr>
          <w:rFonts w:hint="eastAsia" w:ascii="宋体" w:hAnsi="宋体" w:cs="宋体"/>
          <w:sz w:val="24"/>
          <w:szCs w:val="24"/>
          <w:lang w:eastAsia="zh-CN"/>
        </w:rPr>
        <w:t>垃圾及</w:t>
      </w:r>
      <w:r>
        <w:rPr>
          <w:rFonts w:hint="eastAsia" w:ascii="宋体" w:hAnsi="宋体" w:cs="宋体"/>
          <w:sz w:val="24"/>
          <w:szCs w:val="24"/>
        </w:rPr>
        <w:t>污泥由承包方自行解决，不得乱堆乱放和造成二次污染。</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（三）安全要求：充分注意和保障所有现场人员和过往车辆、群众的安全，采取有效措施，使得工程实施有条不紊，以免上述人员的安全受到威胁。</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七、报价</w:t>
      </w:r>
    </w:p>
    <w:p>
      <w:pPr>
        <w:pStyle w:val="2"/>
        <w:keepNext w:val="0"/>
        <w:keepLines w:val="0"/>
        <w:widowControl/>
        <w:suppressLineNumbers w:val="0"/>
        <w:ind w:left="0" w:firstLine="480"/>
        <w:rPr>
          <w:rFonts w:hint="eastAsia" w:ascii="宋体" w:hAnsi="宋体" w:eastAsia="宋体" w:cs="宋体"/>
          <w:color w:val="000000"/>
          <w:kern w:val="0"/>
          <w:sz w:val="24"/>
          <w:szCs w:val="24"/>
          <w:lang w:val="en-US" w:eastAsia="zh-CN" w:bidi="ar-SA"/>
        </w:rPr>
      </w:pPr>
      <w:r>
        <w:rPr>
          <w:rFonts w:hint="eastAsia" w:ascii="宋体" w:hAnsi="宋体" w:eastAsia="宋体" w:cs="宋体"/>
          <w:kern w:val="0"/>
          <w:sz w:val="24"/>
          <w:szCs w:val="24"/>
          <w:lang w:val="en-US" w:eastAsia="zh-CN" w:bidi="ar-SA"/>
        </w:rPr>
        <w:t>（</w:t>
      </w:r>
      <w:r>
        <w:rPr>
          <w:rFonts w:hint="eastAsia" w:ascii="宋体" w:hAnsi="宋体" w:eastAsia="宋体" w:cs="宋体"/>
          <w:color w:val="000000"/>
          <w:kern w:val="0"/>
          <w:sz w:val="24"/>
          <w:szCs w:val="24"/>
          <w:lang w:val="en-US" w:eastAsia="zh-CN" w:bidi="ar-SA"/>
        </w:rPr>
        <w:t>一）本工程按照年度城建项目计划安排组织实施,因其特殊性(没有施工图纸、无法预知工程项目、无法预知工程量、工程量分散不集中、工期不确定等)，本次招标以下浮率10%中标，工程量按现场实际确认为准，具体费用以蕉城区财政审核部门审核意见为准。</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八、工程款的支付：</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（一）工程款按半年拨付；</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（二）工程量以现场实际</w:t>
      </w:r>
      <w:r>
        <w:rPr>
          <w:rFonts w:hint="eastAsia" w:ascii="宋体" w:hAnsi="宋体" w:cs="宋体"/>
          <w:sz w:val="24"/>
          <w:szCs w:val="24"/>
          <w:lang w:eastAsia="zh-CN"/>
        </w:rPr>
        <w:t>确认</w:t>
      </w:r>
      <w:r>
        <w:rPr>
          <w:rFonts w:hint="eastAsia" w:ascii="宋体" w:hAnsi="宋体" w:cs="宋体"/>
          <w:sz w:val="24"/>
          <w:szCs w:val="24"/>
        </w:rPr>
        <w:t>为准，</w:t>
      </w:r>
      <w:r>
        <w:rPr>
          <w:rFonts w:hint="eastAsia" w:ascii="宋体" w:hAnsi="宋体" w:cs="宋体"/>
          <w:bCs/>
          <w:sz w:val="24"/>
          <w:szCs w:val="24"/>
        </w:rPr>
        <w:t>每半年结算价=财政审核造价-考核扣减金额。</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具体每半年结算方式如下：</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1、工程结算单价套用</w:t>
      </w:r>
      <w:r>
        <w:rPr>
          <w:rFonts w:hint="eastAsia" w:ascii="宋体" w:hAnsi="宋体" w:cs="宋体"/>
          <w:bCs/>
          <w:sz w:val="24"/>
          <w:szCs w:val="24"/>
        </w:rPr>
        <w:t>2013版清单计价规范、</w:t>
      </w:r>
      <w:r>
        <w:rPr>
          <w:rFonts w:hint="eastAsia" w:ascii="宋体" w:hAnsi="宋体" w:cs="宋体"/>
          <w:sz w:val="24"/>
          <w:szCs w:val="24"/>
        </w:rPr>
        <w:t>《福建省市政工程维护定额》（2007版）、《福建省市政工程消耗量定额》2017版等有关政策性法规、规范。</w:t>
      </w:r>
      <w:r>
        <w:rPr>
          <w:rFonts w:hint="eastAsia" w:ascii="宋体" w:hAnsi="宋体" w:cs="宋体"/>
          <w:bCs/>
          <w:sz w:val="24"/>
          <w:szCs w:val="24"/>
        </w:rPr>
        <w:t>材料价格有信息价的采用中标通知书发放当月的蕉城区材料信息价格，无信息价的材料价格采用经监理、建设单位认可的市场询价价格。机械台班价格采用中标通知书发放当月的福建省机械台班价格，</w:t>
      </w:r>
      <w:r>
        <w:rPr>
          <w:rFonts w:hint="eastAsia" w:ascii="宋体" w:hAnsi="宋体" w:cs="宋体"/>
          <w:sz w:val="24"/>
          <w:szCs w:val="24"/>
        </w:rPr>
        <w:t>工程量按现场实际签证为准，具体费用以东侨财政审核部门审核意见为准。</w:t>
      </w:r>
    </w:p>
    <w:p>
      <w:pPr>
        <w:pStyle w:val="5"/>
        <w:spacing w:line="360" w:lineRule="auto"/>
        <w:ind w:firstLine="480" w:firstLineChars="200"/>
        <w:rPr>
          <w:rFonts w:ascii="宋体" w:hAnsi="宋体" w:cs="宋体"/>
          <w:bCs/>
          <w:sz w:val="24"/>
          <w:szCs w:val="24"/>
        </w:rPr>
      </w:pPr>
      <w:r>
        <w:rPr>
          <w:rFonts w:hint="eastAsia" w:ascii="宋体" w:hAnsi="宋体" w:cs="宋体"/>
          <w:sz w:val="24"/>
          <w:szCs w:val="24"/>
        </w:rPr>
        <w:t>2、工程量按实计量，</w:t>
      </w:r>
      <w:r>
        <w:rPr>
          <w:rFonts w:hint="eastAsia" w:ascii="宋体" w:hAnsi="宋体" w:cs="宋体"/>
          <w:bCs/>
          <w:sz w:val="24"/>
          <w:szCs w:val="24"/>
        </w:rPr>
        <w:t>每半年结算价=财政审核造价-考核扣减金额。</w:t>
      </w:r>
    </w:p>
    <w:p>
      <w:pPr>
        <w:pStyle w:val="5"/>
        <w:spacing w:line="360" w:lineRule="auto"/>
        <w:ind w:firstLine="480" w:firstLineChars="200"/>
        <w:rPr>
          <w:rFonts w:ascii="宋体" w:hAnsi="宋体" w:cs="宋体"/>
          <w:bCs/>
          <w:sz w:val="24"/>
          <w:szCs w:val="24"/>
        </w:rPr>
      </w:pPr>
      <w:r>
        <w:rPr>
          <w:rFonts w:hint="eastAsia" w:ascii="宋体" w:hAnsi="宋体" w:cs="宋体"/>
          <w:bCs/>
          <w:sz w:val="24"/>
          <w:szCs w:val="24"/>
        </w:rPr>
        <w:t>3、监督及考核标准</w:t>
      </w:r>
    </w:p>
    <w:p>
      <w:pPr>
        <w:pStyle w:val="5"/>
        <w:spacing w:line="360" w:lineRule="auto"/>
        <w:ind w:left="372" w:leftChars="177" w:firstLine="480" w:firstLineChars="200"/>
        <w:rPr>
          <w:rFonts w:hint="eastAsia" w:ascii="宋体" w:hAnsi="宋体" w:cs="宋体"/>
          <w:sz w:val="24"/>
          <w:szCs w:val="24"/>
        </w:rPr>
      </w:pPr>
      <w:r>
        <w:rPr>
          <w:rFonts w:hint="eastAsia" w:ascii="宋体" w:hAnsi="宋体" w:cs="宋体"/>
          <w:bCs/>
          <w:sz w:val="24"/>
          <w:szCs w:val="24"/>
          <w:lang w:eastAsia="zh-CN"/>
        </w:rPr>
        <w:t>蕉城区城市管理局市政管理部门</w:t>
      </w:r>
      <w:r>
        <w:rPr>
          <w:rFonts w:hint="eastAsia" w:ascii="宋体" w:hAnsi="宋体" w:cs="宋体"/>
          <w:bCs/>
          <w:sz w:val="24"/>
          <w:szCs w:val="24"/>
        </w:rPr>
        <w:t>成立考评组。每次参加考评的成员不少于二人，</w:t>
      </w:r>
      <w:r>
        <w:rPr>
          <w:rFonts w:hint="eastAsia" w:ascii="宋体" w:hAnsi="宋体" w:cs="宋体"/>
          <w:bCs/>
          <w:color w:val="000000"/>
          <w:sz w:val="24"/>
          <w:szCs w:val="24"/>
        </w:rPr>
        <w:t>考评组每半年实施不少于六次的不定期日常考核，不定期日常考核分累加计算半年平均考核分</w:t>
      </w:r>
      <w:r>
        <w:rPr>
          <w:rFonts w:hint="eastAsia" w:ascii="宋体" w:hAnsi="宋体" w:cs="宋体"/>
          <w:bCs/>
          <w:sz w:val="24"/>
          <w:szCs w:val="24"/>
        </w:rPr>
        <w:t>。其中：半年平均分得90分以上（含90分），全额支付半年工程款；得分在90分以下的，每扣1分应扣半年护</w:t>
      </w:r>
      <w:r>
        <w:rPr>
          <w:rFonts w:hint="eastAsia" w:ascii="宋体" w:hAnsi="宋体" w:cs="宋体"/>
          <w:sz w:val="24"/>
          <w:szCs w:val="24"/>
        </w:rPr>
        <w:t>费总额的2.5%；</w:t>
      </w:r>
    </w:p>
    <w:p>
      <w:pPr>
        <w:pStyle w:val="5"/>
        <w:spacing w:line="360" w:lineRule="auto"/>
        <w:ind w:left="372" w:leftChars="177" w:firstLine="480" w:firstLineChars="200"/>
        <w:rPr>
          <w:rFonts w:ascii="宋体" w:hAnsi="宋体" w:cs="宋体"/>
          <w:color w:val="000000"/>
          <w:sz w:val="24"/>
          <w:szCs w:val="24"/>
        </w:rPr>
      </w:pPr>
      <w:r>
        <w:rPr>
          <w:rFonts w:hint="eastAsia" w:ascii="宋体" w:hAnsi="宋体" w:cs="宋体"/>
          <w:sz w:val="24"/>
          <w:szCs w:val="24"/>
        </w:rPr>
        <w:t>考核分与半年实结养护经费挂钩。考核分90分（含）以上的全额支付；考核低于90分，扣减金额为（90-实际得分）×工程款×2.5%。</w:t>
      </w:r>
    </w:p>
    <w:p>
      <w:pPr>
        <w:pStyle w:val="5"/>
        <w:spacing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（三）在承包期限内，新增加的道路及其附属设施，承包方应及时接管维护，其数量按实际的工程量；原则上参照承包人投标综合单价作为接管维护单价，并须另签定补充协议。</w:t>
      </w:r>
    </w:p>
    <w:p>
      <w:pPr>
        <w:pStyle w:val="5"/>
        <w:spacing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九、投标注意事项：</w:t>
      </w:r>
    </w:p>
    <w:p>
      <w:pPr>
        <w:pStyle w:val="5"/>
        <w:spacing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投标人必须全部接受并恪守本工程实施细则各有关条款，有疑问或不了解细则含义，请在投标报名前询问。</w:t>
      </w:r>
    </w:p>
    <w:p>
      <w:pPr>
        <w:pStyle w:val="5"/>
        <w:spacing w:line="440" w:lineRule="atLeast"/>
        <w:ind w:firstLine="480" w:firstLineChars="200"/>
        <w:rPr>
          <w:rFonts w:ascii="宋体" w:hAnsi="宋体" w:cs="宋体"/>
          <w:sz w:val="24"/>
          <w:szCs w:val="24"/>
        </w:rPr>
      </w:pPr>
      <w:r>
        <w:rPr>
          <w:rFonts w:hint="eastAsia" w:ascii="宋体" w:hAnsi="宋体" w:cs="宋体"/>
          <w:color w:val="000000"/>
          <w:sz w:val="24"/>
          <w:szCs w:val="24"/>
        </w:rPr>
        <w:t>十、本《实施细则》与《</w:t>
      </w:r>
      <w:r>
        <w:rPr>
          <w:rFonts w:hint="eastAsia" w:ascii="宋体" w:hAnsi="宋体" w:cs="宋体"/>
          <w:color w:val="000000"/>
          <w:sz w:val="24"/>
          <w:szCs w:val="24"/>
          <w:lang w:eastAsia="zh-CN"/>
        </w:rPr>
        <w:t>宁德市蕉城区</w:t>
      </w:r>
      <w:r>
        <w:rPr>
          <w:rFonts w:hint="eastAsia" w:ascii="宋体" w:hAnsi="宋体" w:cs="宋体"/>
          <w:color w:val="000000"/>
          <w:sz w:val="24"/>
          <w:szCs w:val="24"/>
        </w:rPr>
        <w:t>市政基础设施养护管理项目考核要求管理办法》作为该工程承</w:t>
      </w:r>
      <w:r>
        <w:rPr>
          <w:rFonts w:hint="eastAsia" w:ascii="宋体" w:hAnsi="宋体" w:cs="宋体"/>
          <w:sz w:val="24"/>
          <w:szCs w:val="24"/>
        </w:rPr>
        <w:t>包合同的专用条款，与合同有同等法律效力。</w:t>
      </w:r>
    </w:p>
    <w:p>
      <w:pPr>
        <w:pStyle w:val="5"/>
        <w:spacing w:line="440" w:lineRule="atLeast"/>
        <w:ind w:firstLine="480" w:firstLineChars="200"/>
        <w:rPr>
          <w:rFonts w:hint="eastAsia" w:ascii="宋体" w:hAnsi="宋体" w:cs="宋体"/>
          <w:sz w:val="24"/>
          <w:szCs w:val="24"/>
        </w:rPr>
      </w:pPr>
      <w:r>
        <w:rPr>
          <w:rFonts w:hint="eastAsia" w:ascii="宋体" w:hAnsi="宋体" w:cs="宋体"/>
          <w:sz w:val="24"/>
          <w:szCs w:val="24"/>
        </w:rPr>
        <w:t>十一、各参加投标人在投标前，务必认真领会承包精神，到现场了解承包工程量和施工难易度，投标单位应充分考虑因为市场风险、管理状况变化、实际结算额远小于合同金额等产生的风险。投标单位根据自身实力、管理状况和招标文件，充分考虑安全设施设置费用及保险费用等事项，慎重测算工程总成本费用，充分利用自身管理和组织能力等优势，确保中标后能顺利进行施工，安全按质完成承包施工任务。</w:t>
      </w: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bookmarkStart w:id="0" w:name="_GoBack"/>
      <w:bookmarkEnd w:id="0"/>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hint="eastAsia" w:ascii="宋体" w:hAnsi="宋体" w:cs="仿宋_GB2312"/>
          <w:sz w:val="24"/>
          <w:szCs w:val="24"/>
        </w:rPr>
      </w:pPr>
    </w:p>
    <w:p>
      <w:pPr>
        <w:spacing w:line="440" w:lineRule="atLeast"/>
        <w:rPr>
          <w:rFonts w:ascii="宋体" w:hAnsi="宋体" w:cs="仿宋_GB2312"/>
          <w:sz w:val="24"/>
          <w:szCs w:val="24"/>
        </w:rPr>
      </w:pPr>
      <w:r>
        <w:rPr>
          <w:rFonts w:hint="eastAsia" w:ascii="宋体" w:hAnsi="宋体" w:cs="仿宋_GB2312"/>
          <w:sz w:val="24"/>
          <w:szCs w:val="24"/>
        </w:rPr>
        <w:t>附表</w:t>
      </w:r>
    </w:p>
    <w:p>
      <w:pPr>
        <w:spacing w:line="560" w:lineRule="exact"/>
        <w:jc w:val="center"/>
        <w:rPr>
          <w:rFonts w:ascii="宋体" w:hAnsi="宋体" w:cs="仿宋_GB2312"/>
          <w:b/>
          <w:bCs/>
          <w:sz w:val="24"/>
          <w:szCs w:val="24"/>
        </w:rPr>
      </w:pPr>
      <w:r>
        <w:rPr>
          <w:rFonts w:hint="eastAsia" w:ascii="宋体" w:hAnsi="宋体" w:cs="仿宋_GB2312"/>
          <w:b/>
          <w:bCs/>
          <w:sz w:val="24"/>
          <w:szCs w:val="24"/>
        </w:rPr>
        <w:t>中心城区市政道路（桥梁、隧道）路面及窨井盖维护管理规范处置表</w:t>
      </w:r>
    </w:p>
    <w:tbl>
      <w:tblPr>
        <w:tblStyle w:val="3"/>
        <w:tblpPr w:leftFromText="180" w:rightFromText="180" w:vertAnchor="text" w:horzAnchor="page" w:tblpX="1180" w:tblpY="113"/>
        <w:tblOverlap w:val="never"/>
        <w:tblW w:w="0" w:type="auto"/>
        <w:tblInd w:w="0" w:type="dxa"/>
        <w:tblLayout w:type="fixed"/>
        <w:tblCellMar>
          <w:top w:w="0" w:type="dxa"/>
          <w:left w:w="0" w:type="dxa"/>
          <w:bottom w:w="0" w:type="dxa"/>
          <w:right w:w="0" w:type="dxa"/>
        </w:tblCellMar>
      </w:tblPr>
      <w:tblGrid>
        <w:gridCol w:w="964"/>
        <w:gridCol w:w="2170"/>
        <w:gridCol w:w="3544"/>
        <w:gridCol w:w="2961"/>
      </w:tblGrid>
      <w:tr>
        <w:tblPrEx>
          <w:tblCellMar>
            <w:top w:w="0" w:type="dxa"/>
            <w:left w:w="0" w:type="dxa"/>
            <w:bottom w:w="0" w:type="dxa"/>
            <w:right w:w="0" w:type="dxa"/>
          </w:tblCellMar>
        </w:tblPrEx>
        <w:trPr>
          <w:trHeight w:val="356" w:hRule="atLeast"/>
        </w:trPr>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类别</w:t>
            </w: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存在问题</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临时处置方式及时限</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修复方式及时限</w:t>
            </w:r>
          </w:p>
        </w:tc>
      </w:tr>
      <w:tr>
        <w:tblPrEx>
          <w:tblCellMar>
            <w:top w:w="0" w:type="dxa"/>
            <w:left w:w="0" w:type="dxa"/>
            <w:bottom w:w="0" w:type="dxa"/>
            <w:right w:w="0" w:type="dxa"/>
          </w:tblCellMar>
        </w:tblPrEx>
        <w:trPr>
          <w:trHeight w:val="713" w:hRule="atLeast"/>
        </w:trPr>
        <w:tc>
          <w:tcPr>
            <w:tcW w:w="9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市政道路类</w:t>
            </w: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机动车道、非机动车道破损超过0.15㎡</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于1小时内回填集料、铺设钢板或布置临时围挡，避免出现安全事故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于2日内全面修复路面，确保路面平整，不影响交通</w:t>
            </w:r>
          </w:p>
        </w:tc>
      </w:tr>
      <w:tr>
        <w:tblPrEx>
          <w:tblCellMar>
            <w:top w:w="0" w:type="dxa"/>
            <w:left w:w="0" w:type="dxa"/>
            <w:bottom w:w="0" w:type="dxa"/>
            <w:right w:w="0" w:type="dxa"/>
          </w:tblCellMar>
        </w:tblPrEx>
        <w:trPr>
          <w:trHeight w:val="686"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人行道破损、坑洼不平、道板缺失、松动超过0.1㎡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于1小时内回填集料、铺设钢板或布置临时围挡，避免出现安全事故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于2日内完全修复人行道。确保人行道平整，不影响行人通行</w:t>
            </w:r>
          </w:p>
        </w:tc>
      </w:tr>
      <w:tr>
        <w:tblPrEx>
          <w:tblCellMar>
            <w:top w:w="0" w:type="dxa"/>
            <w:left w:w="0" w:type="dxa"/>
            <w:bottom w:w="0" w:type="dxa"/>
            <w:right w:w="0" w:type="dxa"/>
          </w:tblCellMar>
        </w:tblPrEx>
        <w:trPr>
          <w:trHeight w:val="686"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路沿石松动、缺失、移位或破损超过0.1m</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于1小时内布置排除隐患或布置临时围挡，避免出现安全事故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于2日内完全恢复，路沿石连续完整</w:t>
            </w:r>
          </w:p>
        </w:tc>
      </w:tr>
      <w:tr>
        <w:tblPrEx>
          <w:tblCellMar>
            <w:top w:w="0" w:type="dxa"/>
            <w:left w:w="0" w:type="dxa"/>
            <w:bottom w:w="0" w:type="dxa"/>
            <w:right w:w="0" w:type="dxa"/>
          </w:tblCellMar>
        </w:tblPrEx>
        <w:trPr>
          <w:trHeight w:val="686" w:hRule="atLeast"/>
        </w:trPr>
        <w:tc>
          <w:tcPr>
            <w:tcW w:w="9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 w:val="24"/>
                <w:szCs w:val="24"/>
              </w:rPr>
            </w:pPr>
            <w:r>
              <w:rPr>
                <w:rFonts w:hint="eastAsia" w:ascii="宋体" w:hAnsi="宋体" w:cs="仿宋"/>
                <w:color w:val="000000"/>
                <w:kern w:val="0"/>
                <w:sz w:val="24"/>
                <w:szCs w:val="24"/>
              </w:rPr>
              <w:t>窨井盖类</w:t>
            </w: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窨井盖出现破损、开裂现象</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于2日内完成井盖更换或修复工作，确保安全，不影响交通</w:t>
            </w:r>
          </w:p>
        </w:tc>
      </w:tr>
      <w:tr>
        <w:tblPrEx>
          <w:tblCellMar>
            <w:top w:w="0" w:type="dxa"/>
            <w:left w:w="0" w:type="dxa"/>
            <w:bottom w:w="0" w:type="dxa"/>
            <w:right w:w="0" w:type="dxa"/>
          </w:tblCellMar>
        </w:tblPrEx>
        <w:trPr>
          <w:trHeight w:val="686"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井盖缺失</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于2日内完成井盖修复工作，确保安全，不影响交通</w:t>
            </w:r>
          </w:p>
        </w:tc>
      </w:tr>
      <w:tr>
        <w:tblPrEx>
          <w:tblCellMar>
            <w:top w:w="0" w:type="dxa"/>
            <w:left w:w="0" w:type="dxa"/>
            <w:bottom w:w="0" w:type="dxa"/>
            <w:right w:w="0" w:type="dxa"/>
          </w:tblCellMar>
        </w:tblPrEx>
        <w:trPr>
          <w:trHeight w:val="356"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井盖位移</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仿宋"/>
                <w:color w:val="000000"/>
                <w:sz w:val="24"/>
                <w:szCs w:val="24"/>
              </w:rPr>
            </w:pPr>
            <w:r>
              <w:rPr>
                <w:rFonts w:hint="eastAsia" w:ascii="宋体" w:hAnsi="宋体" w:cs="仿宋"/>
                <w:color w:val="000000"/>
                <w:kern w:val="0"/>
                <w:sz w:val="24"/>
                <w:szCs w:val="24"/>
              </w:rPr>
              <w:t>于1小时内铺设钢板或布置临时围挡，避免出现安全事故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于6小时内修复到位</w:t>
            </w:r>
          </w:p>
        </w:tc>
      </w:tr>
      <w:tr>
        <w:tblPrEx>
          <w:tblCellMar>
            <w:top w:w="0" w:type="dxa"/>
            <w:left w:w="0" w:type="dxa"/>
            <w:bottom w:w="0" w:type="dxa"/>
            <w:right w:w="0" w:type="dxa"/>
          </w:tblCellMar>
        </w:tblPrEx>
        <w:trPr>
          <w:trHeight w:val="686"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车辆经过产生异响，明显影响安全</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于1小时内布设减震橡胶垫片，消除异响</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于2日内全面修复，彻底消除异响。</w:t>
            </w:r>
          </w:p>
        </w:tc>
      </w:tr>
      <w:tr>
        <w:tblPrEx>
          <w:tblCellMar>
            <w:top w:w="0" w:type="dxa"/>
            <w:left w:w="0" w:type="dxa"/>
            <w:bottom w:w="0" w:type="dxa"/>
            <w:right w:w="0" w:type="dxa"/>
          </w:tblCellMar>
        </w:tblPrEx>
        <w:trPr>
          <w:trHeight w:val="697"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
                <w:color w:val="000000"/>
                <w:sz w:val="24"/>
                <w:szCs w:val="24"/>
              </w:rPr>
            </w:pPr>
          </w:p>
        </w:tc>
        <w:tc>
          <w:tcPr>
            <w:tcW w:w="2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井盖沉降超过3cm</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于1小时内铺设钢板或布置临时围挡，避免出现安全事故</w:t>
            </w:r>
          </w:p>
        </w:tc>
        <w:tc>
          <w:tcPr>
            <w:tcW w:w="2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
                <w:color w:val="000000"/>
                <w:sz w:val="24"/>
                <w:szCs w:val="24"/>
              </w:rPr>
            </w:pPr>
            <w:r>
              <w:rPr>
                <w:rFonts w:hint="eastAsia" w:ascii="宋体" w:hAnsi="宋体" w:cs="仿宋"/>
                <w:color w:val="000000"/>
                <w:kern w:val="0"/>
                <w:sz w:val="24"/>
                <w:szCs w:val="24"/>
              </w:rPr>
              <w:t>于2日内全面修复井盖，确保井盖与路面平整，不影响交通</w:t>
            </w:r>
          </w:p>
        </w:tc>
      </w:tr>
    </w:tbl>
    <w:p>
      <w:pPr>
        <w:pStyle w:val="5"/>
        <w:jc w:val="left"/>
        <w:rPr>
          <w:rFonts w:hint="eastAsia" w:ascii="宋体" w:hAnsi="宋体" w:cs="宋体"/>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21256"/>
    <w:rsid w:val="4A121256"/>
    <w:rsid w:val="56F7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正文_4"/>
    <w:basedOn w:val="6"/>
    <w:qFormat/>
    <w:uiPriority w:val="0"/>
    <w:pPr>
      <w:widowControl w:val="0"/>
      <w:adjustRightInd w:val="0"/>
      <w:spacing w:line="360" w:lineRule="atLeast"/>
      <w:jc w:val="both"/>
      <w:textAlignment w:val="baseline"/>
    </w:pPr>
    <w:rPr>
      <w:rFonts w:eastAsia="宋体"/>
      <w:lang w:val="en-US" w:eastAsia="zh-CN" w:bidi="ar-SA"/>
    </w:rPr>
  </w:style>
  <w:style w:type="paragraph" w:customStyle="1" w:styleId="6">
    <w:name w:val="正文_5"/>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customStyle="1" w:styleId="7">
    <w:name w:val="active"/>
    <w:basedOn w:val="4"/>
    <w:uiPriority w:val="0"/>
    <w:rPr>
      <w:shd w:val="clear" w:fill="EC353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2020-06-10T07:00:00Z</dcterms:created>
  <dc:creator>Administrator</dc:creator>
  <cp:lastModifiedBy>Administrator</cp:lastModifiedBy>
  <dcterms:modified xsi:type="dcterms:W3CDTF">2020-06-12T02:39:02Z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